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7966" w14:textId="77777777" w:rsidR="00E1456E" w:rsidRDefault="00000000" w:rsidP="0091032F">
      <w:pPr>
        <w:spacing w:after="0" w:line="240" w:lineRule="auto"/>
        <w:ind w:left="0" w:firstLine="0"/>
        <w:jc w:val="right"/>
      </w:pPr>
      <w:r>
        <w:rPr>
          <w:noProof/>
        </w:rPr>
        <w:drawing>
          <wp:inline distT="0" distB="0" distL="0" distR="0" wp14:anchorId="5EF61BDF" wp14:editId="22982FCD">
            <wp:extent cx="1320800" cy="568960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2CEEF67A" w14:textId="77777777" w:rsidR="00E1456E" w:rsidRDefault="00000000" w:rsidP="0091032F">
      <w:pPr>
        <w:spacing w:after="0" w:line="240" w:lineRule="auto"/>
        <w:ind w:left="12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672778B" w14:textId="77777777" w:rsidR="00E1456E" w:rsidRDefault="00000000" w:rsidP="0091032F">
      <w:pPr>
        <w:spacing w:after="0" w:line="240" w:lineRule="auto"/>
        <w:ind w:left="12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060F0F1" w14:textId="77777777" w:rsidR="00E1456E" w:rsidRDefault="00000000" w:rsidP="0091032F">
      <w:pPr>
        <w:spacing w:after="0" w:line="240" w:lineRule="auto"/>
        <w:ind w:left="0" w:right="200" w:firstLine="0"/>
        <w:jc w:val="center"/>
      </w:pPr>
      <w:r>
        <w:rPr>
          <w:b/>
        </w:rPr>
        <w:t xml:space="preserve">Procedimiento en caso de fallecimiento del titular del crédito </w:t>
      </w:r>
      <w:r>
        <w:t xml:space="preserve"> </w:t>
      </w:r>
    </w:p>
    <w:p w14:paraId="5C821679" w14:textId="77777777" w:rsidR="00E26508" w:rsidRDefault="00000000" w:rsidP="0091032F">
      <w:pPr>
        <w:spacing w:after="0" w:line="240" w:lineRule="auto"/>
        <w:ind w:left="14" w:firstLine="0"/>
        <w:jc w:val="left"/>
      </w:pPr>
      <w:r>
        <w:t xml:space="preserve">  </w:t>
      </w:r>
    </w:p>
    <w:p w14:paraId="6D9E8811" w14:textId="77777777" w:rsidR="0091032F" w:rsidRDefault="0091032F" w:rsidP="0091032F">
      <w:pPr>
        <w:spacing w:after="0" w:line="240" w:lineRule="auto"/>
        <w:ind w:left="14" w:firstLine="0"/>
      </w:pPr>
    </w:p>
    <w:p w14:paraId="757B02C6" w14:textId="056F9A27" w:rsidR="00E1456E" w:rsidRDefault="00000000" w:rsidP="0091032F">
      <w:pPr>
        <w:spacing w:after="0" w:line="240" w:lineRule="auto"/>
        <w:ind w:left="14" w:firstLine="0"/>
      </w:pPr>
      <w:r>
        <w:t xml:space="preserve">En caso del fallecimiento del titular de crédito, el </w:t>
      </w:r>
      <w:r w:rsidR="0091032F">
        <w:t xml:space="preserve">o los </w:t>
      </w:r>
      <w:r w:rsidR="00E26508">
        <w:t xml:space="preserve">herederos </w:t>
      </w:r>
      <w:r w:rsidR="00356EC3">
        <w:t xml:space="preserve">o las personas vinculadas al préstamo </w:t>
      </w:r>
      <w:r>
        <w:t>deberá</w:t>
      </w:r>
      <w:r w:rsidR="0091032F">
        <w:t xml:space="preserve">n informar el hecho y </w:t>
      </w:r>
      <w:r>
        <w:t xml:space="preserve">presentar a </w:t>
      </w:r>
      <w:r>
        <w:rPr>
          <w:b/>
        </w:rPr>
        <w:t>TOTAL SERVICIOS FINANCIEROS EMPRESA DE CRÉDITOS</w:t>
      </w:r>
      <w:r>
        <w:t xml:space="preserve"> una carta</w:t>
      </w:r>
      <w:r w:rsidR="0091032F">
        <w:t>,</w:t>
      </w:r>
      <w:r>
        <w:t xml:space="preserve"> dentro de los diez (10) días posteriores al hecho, adjuntando</w:t>
      </w:r>
      <w:r w:rsidR="0091032F">
        <w:t xml:space="preserve"> la documentación que se indica más adelante</w:t>
      </w:r>
      <w:r>
        <w:t xml:space="preserve">.  </w:t>
      </w:r>
    </w:p>
    <w:p w14:paraId="3C645029" w14:textId="77777777" w:rsidR="0091032F" w:rsidRDefault="0091032F" w:rsidP="0091032F">
      <w:pPr>
        <w:spacing w:after="0" w:line="240" w:lineRule="auto"/>
        <w:ind w:left="14" w:firstLine="0"/>
      </w:pPr>
    </w:p>
    <w:p w14:paraId="57210673" w14:textId="25798810" w:rsidR="00E1456E" w:rsidRDefault="00000000" w:rsidP="0091032F">
      <w:pPr>
        <w:spacing w:after="0" w:line="240" w:lineRule="auto"/>
        <w:ind w:left="0" w:firstLine="0"/>
      </w:pPr>
      <w:r>
        <w:t xml:space="preserve">Una vez recepcionada la comunicación, </w:t>
      </w:r>
      <w:r>
        <w:rPr>
          <w:b/>
        </w:rPr>
        <w:t>TOTAL SERVICIOS FINANCIEROS EMPRESA DE CRÉDITOS</w:t>
      </w:r>
      <w:r>
        <w:t xml:space="preserve"> dar</w:t>
      </w:r>
      <w:r w:rsidR="0091032F">
        <w:t>á</w:t>
      </w:r>
      <w:r>
        <w:t xml:space="preserve"> respuesta </w:t>
      </w:r>
      <w:r w:rsidR="0091032F">
        <w:t xml:space="preserve">con </w:t>
      </w:r>
      <w:r>
        <w:t>los documentos que deberá presentarse de manera obligatoria</w:t>
      </w:r>
      <w:r w:rsidR="0091032F">
        <w:t>, entre ellos</w:t>
      </w:r>
      <w:r>
        <w:t xml:space="preserve">:  </w:t>
      </w:r>
    </w:p>
    <w:p w14:paraId="290158D3" w14:textId="77777777" w:rsidR="00E1456E" w:rsidRDefault="00000000" w:rsidP="0091032F">
      <w:pPr>
        <w:spacing w:after="0" w:line="240" w:lineRule="auto"/>
        <w:ind w:left="14" w:firstLine="0"/>
        <w:jc w:val="left"/>
      </w:pPr>
      <w:r>
        <w:t xml:space="preserve">  </w:t>
      </w:r>
    </w:p>
    <w:p w14:paraId="6AC52CBE" w14:textId="41499C54" w:rsidR="0091032F" w:rsidRDefault="0091032F" w:rsidP="0091032F">
      <w:pPr>
        <w:numPr>
          <w:ilvl w:val="1"/>
          <w:numId w:val="1"/>
        </w:numPr>
        <w:spacing w:after="0" w:line="240" w:lineRule="auto"/>
        <w:ind w:left="567" w:right="187" w:hanging="567"/>
      </w:pPr>
      <w:r>
        <w:t>A</w:t>
      </w:r>
      <w:r>
        <w:t>cta certificada de Fallecimiento</w:t>
      </w:r>
      <w:r>
        <w:t xml:space="preserve"> </w:t>
      </w:r>
    </w:p>
    <w:p w14:paraId="33B95179" w14:textId="3C4629FA" w:rsidR="00E1456E" w:rsidRDefault="00000000" w:rsidP="0091032F">
      <w:pPr>
        <w:numPr>
          <w:ilvl w:val="1"/>
          <w:numId w:val="1"/>
        </w:numPr>
        <w:spacing w:after="0" w:line="240" w:lineRule="auto"/>
        <w:ind w:left="567" w:right="187" w:hanging="567"/>
      </w:pPr>
      <w:r>
        <w:t xml:space="preserve">Testamento, en caso corresponda, así como su inscripción en Registros Públicos  </w:t>
      </w:r>
    </w:p>
    <w:p w14:paraId="677758FC" w14:textId="75D6F892" w:rsidR="00E1456E" w:rsidRDefault="00000000" w:rsidP="0091032F">
      <w:pPr>
        <w:numPr>
          <w:ilvl w:val="1"/>
          <w:numId w:val="1"/>
        </w:numPr>
        <w:spacing w:after="0" w:line="240" w:lineRule="auto"/>
        <w:ind w:left="567" w:right="187" w:hanging="567"/>
      </w:pPr>
      <w:r>
        <w:t>En caso no exista testamento, se debe presentar la sucesión intestada o declaratoria de herederos debidamente inscrita en Registros Públicos</w:t>
      </w:r>
      <w:r w:rsidR="0091032F">
        <w:t>.</w:t>
      </w:r>
      <w:r>
        <w:t xml:space="preserve">  </w:t>
      </w:r>
    </w:p>
    <w:p w14:paraId="689DA711" w14:textId="77777777" w:rsidR="00E1456E" w:rsidRDefault="00000000" w:rsidP="0091032F">
      <w:pPr>
        <w:numPr>
          <w:ilvl w:val="1"/>
          <w:numId w:val="1"/>
        </w:numPr>
        <w:spacing w:after="0" w:line="240" w:lineRule="auto"/>
        <w:ind w:left="567" w:right="187" w:hanging="567"/>
      </w:pPr>
      <w:r>
        <w:t xml:space="preserve">DNI de todos los herederos. </w:t>
      </w:r>
    </w:p>
    <w:p w14:paraId="031F2A1F" w14:textId="55F6C664" w:rsidR="00E1456E" w:rsidRDefault="00000000" w:rsidP="0091032F">
      <w:pPr>
        <w:numPr>
          <w:ilvl w:val="1"/>
          <w:numId w:val="1"/>
        </w:numPr>
        <w:spacing w:after="0" w:line="240" w:lineRule="auto"/>
        <w:ind w:left="567" w:right="187" w:hanging="567"/>
      </w:pPr>
      <w:r>
        <w:t>Ficha RUC de la sucesión indivisa</w:t>
      </w:r>
      <w:r w:rsidR="0091032F">
        <w:t>, de ser el caso.</w:t>
      </w:r>
    </w:p>
    <w:p w14:paraId="1E4D44B8" w14:textId="7E91E9B0" w:rsidR="00E26508" w:rsidRDefault="00E26508" w:rsidP="0091032F">
      <w:pPr>
        <w:numPr>
          <w:ilvl w:val="1"/>
          <w:numId w:val="1"/>
        </w:numPr>
        <w:spacing w:after="0" w:line="240" w:lineRule="auto"/>
        <w:ind w:left="567" w:right="187" w:hanging="567"/>
      </w:pPr>
      <w:r>
        <w:t>Otra documentación requerida por la compañía de Seguros.</w:t>
      </w:r>
    </w:p>
    <w:p w14:paraId="5D9F8CCD" w14:textId="77777777" w:rsidR="00E1456E" w:rsidRDefault="00000000" w:rsidP="0091032F">
      <w:pPr>
        <w:spacing w:after="0" w:line="240" w:lineRule="auto"/>
        <w:ind w:left="14" w:firstLine="0"/>
        <w:jc w:val="left"/>
      </w:pPr>
      <w:r>
        <w:t xml:space="preserve">  </w:t>
      </w:r>
    </w:p>
    <w:p w14:paraId="4F8E8F2D" w14:textId="7BA4F19E" w:rsidR="0091032F" w:rsidRDefault="00000000" w:rsidP="0091032F">
      <w:pPr>
        <w:spacing w:after="0" w:line="240" w:lineRule="auto"/>
        <w:ind w:left="0" w:right="187" w:firstLine="0"/>
      </w:pPr>
      <w:r>
        <w:t xml:space="preserve">Una vez sean remitidos los documentos completos, </w:t>
      </w:r>
      <w:r w:rsidR="0091032F">
        <w:t xml:space="preserve">se informará acerca de la cobertura del seguro que se tenga contrato y, de ser el caso, se requerirá la suscripción de los documentos vinculados al préstamo, así como a obtener, de corresponder, </w:t>
      </w:r>
      <w:r w:rsidR="0091032F" w:rsidRPr="0091032F">
        <w:t>la devolución del bien, renegociación o una nueva evaluación.</w:t>
      </w:r>
    </w:p>
    <w:p w14:paraId="323CBB9C" w14:textId="77777777" w:rsidR="00E1456E" w:rsidRDefault="00000000" w:rsidP="0091032F">
      <w:pPr>
        <w:spacing w:after="0" w:line="240" w:lineRule="auto"/>
        <w:ind w:left="734" w:firstLine="0"/>
        <w:jc w:val="left"/>
      </w:pPr>
      <w:r>
        <w:t xml:space="preserve">  </w:t>
      </w:r>
    </w:p>
    <w:sectPr w:rsidR="00E1456E">
      <w:pgSz w:w="11904" w:h="16831"/>
      <w:pgMar w:top="720" w:right="1481" w:bottom="1440" w:left="16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24CDA"/>
    <w:multiLevelType w:val="hybridMultilevel"/>
    <w:tmpl w:val="312E3816"/>
    <w:lvl w:ilvl="0" w:tplc="EE0CF9E0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4D5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27AD2">
      <w:start w:val="1"/>
      <w:numFmt w:val="bullet"/>
      <w:lvlText w:val="▪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A2A6C">
      <w:start w:val="1"/>
      <w:numFmt w:val="bullet"/>
      <w:lvlText w:val="•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CFB20">
      <w:start w:val="1"/>
      <w:numFmt w:val="bullet"/>
      <w:lvlText w:val="o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4DB82">
      <w:start w:val="1"/>
      <w:numFmt w:val="bullet"/>
      <w:lvlText w:val="▪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05DA0">
      <w:start w:val="1"/>
      <w:numFmt w:val="bullet"/>
      <w:lvlText w:val="•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053AC">
      <w:start w:val="1"/>
      <w:numFmt w:val="bullet"/>
      <w:lvlText w:val="o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804FC">
      <w:start w:val="1"/>
      <w:numFmt w:val="bullet"/>
      <w:lvlText w:val="▪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37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6E"/>
    <w:rsid w:val="00356EC3"/>
    <w:rsid w:val="00565B26"/>
    <w:rsid w:val="0091032F"/>
    <w:rsid w:val="0094710F"/>
    <w:rsid w:val="00C65DA1"/>
    <w:rsid w:val="00E1456E"/>
    <w:rsid w:val="00E2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6CA7E"/>
  <w15:docId w15:val="{0748272F-9415-47CB-8F65-392E2E59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9" w:lineRule="auto"/>
      <w:ind w:left="372" w:hanging="372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Rosas Avalos</dc:creator>
  <cp:keywords/>
  <cp:lastModifiedBy>JOSE ROBERTO REYES PAREDES</cp:lastModifiedBy>
  <cp:revision>3</cp:revision>
  <dcterms:created xsi:type="dcterms:W3CDTF">2024-10-16T17:40:00Z</dcterms:created>
  <dcterms:modified xsi:type="dcterms:W3CDTF">2024-10-16T17:41:00Z</dcterms:modified>
</cp:coreProperties>
</file>