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1CD4" w14:textId="77777777" w:rsidR="00607565" w:rsidRDefault="00000000">
      <w:pPr>
        <w:pStyle w:val="Textoindependiente"/>
        <w:ind w:left="65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ACC9EA" wp14:editId="5ACAE205">
            <wp:extent cx="1615728" cy="6967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728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95BB" w14:textId="77777777" w:rsidR="00607565" w:rsidRDefault="00607565">
      <w:pPr>
        <w:pStyle w:val="Textoindependiente"/>
        <w:rPr>
          <w:rFonts w:ascii="Times New Roman"/>
        </w:rPr>
      </w:pPr>
    </w:p>
    <w:p w14:paraId="019200ED" w14:textId="77777777" w:rsidR="00607565" w:rsidRDefault="00607565">
      <w:pPr>
        <w:pStyle w:val="Textoindependiente"/>
        <w:spacing w:before="273"/>
        <w:rPr>
          <w:rFonts w:ascii="Times New Roman"/>
        </w:rPr>
      </w:pPr>
    </w:p>
    <w:p w14:paraId="0F4A2498" w14:textId="77777777" w:rsidR="00920720" w:rsidRDefault="00000000" w:rsidP="00DE0776">
      <w:pPr>
        <w:pStyle w:val="Ttulo"/>
        <w:spacing w:line="336" w:lineRule="auto"/>
        <w:jc w:val="center"/>
        <w:rPr>
          <w:u w:val="none"/>
        </w:rPr>
      </w:pPr>
      <w:r>
        <w:t>PROCEDIMIENTO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LEVANTAMIENTOS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GARANTÍAS</w:t>
      </w:r>
    </w:p>
    <w:p w14:paraId="593A3D57" w14:textId="58410E2F" w:rsidR="00607565" w:rsidRDefault="00DE0776" w:rsidP="00DE0776">
      <w:pPr>
        <w:pStyle w:val="Ttulo"/>
        <w:spacing w:line="336" w:lineRule="auto"/>
        <w:jc w:val="center"/>
        <w:rPr>
          <w:u w:val="none"/>
        </w:rPr>
      </w:pPr>
      <w:r w:rsidRPr="00DE0776">
        <w:t>TOTAL SERVICIOS FINANCIEROS EMPRESA DE CREDITOS</w:t>
      </w:r>
    </w:p>
    <w:p w14:paraId="2A502A1E" w14:textId="77777777" w:rsidR="00607565" w:rsidRDefault="00607565">
      <w:pPr>
        <w:pStyle w:val="Textoindependiente"/>
        <w:spacing w:before="124"/>
        <w:rPr>
          <w:rFonts w:ascii="Arial"/>
          <w:b/>
        </w:rPr>
      </w:pPr>
    </w:p>
    <w:p w14:paraId="606C9B56" w14:textId="77777777" w:rsidR="00607565" w:rsidRDefault="00000000">
      <w:pPr>
        <w:pStyle w:val="Textoindependiente"/>
        <w:ind w:left="118"/>
      </w:pPr>
      <w:r>
        <w:t>El</w:t>
      </w:r>
      <w:r>
        <w:rPr>
          <w:spacing w:val="-9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Levantamiento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Garantías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2"/>
        </w:rPr>
        <w:t>siguiente:</w:t>
      </w:r>
    </w:p>
    <w:p w14:paraId="4190154C" w14:textId="77777777" w:rsidR="00607565" w:rsidRDefault="00607565">
      <w:pPr>
        <w:pStyle w:val="Textoindependiente"/>
      </w:pPr>
    </w:p>
    <w:p w14:paraId="4F8DE365" w14:textId="3F73AA22" w:rsidR="00607565" w:rsidRDefault="00000000">
      <w:pPr>
        <w:pStyle w:val="Prrafodelista"/>
        <w:numPr>
          <w:ilvl w:val="0"/>
          <w:numId w:val="1"/>
        </w:numPr>
        <w:tabs>
          <w:tab w:val="left" w:pos="543"/>
          <w:tab w:val="left" w:pos="546"/>
        </w:tabs>
        <w:ind w:right="114"/>
        <w:jc w:val="both"/>
        <w:rPr>
          <w:sz w:val="26"/>
        </w:rPr>
      </w:pPr>
      <w:r>
        <w:rPr>
          <w:sz w:val="26"/>
        </w:rPr>
        <w:t xml:space="preserve">El área de cobranzas </w:t>
      </w:r>
      <w:r w:rsidR="00DE0776">
        <w:rPr>
          <w:sz w:val="26"/>
        </w:rPr>
        <w:t>en el proceso de</w:t>
      </w:r>
      <w:r>
        <w:rPr>
          <w:sz w:val="26"/>
        </w:rPr>
        <w:t xml:space="preserve"> cierre de CAF y/o contrato que corresponda, propondrá el levantamiento de la garantía otorgada, siempre que el cliente no tenga otros CAFs y/o contratos vigentes, a fin de que se inicie este procedimiento, el mismo que es autorizado por el Gerente General.</w:t>
      </w:r>
    </w:p>
    <w:p w14:paraId="11596AEB" w14:textId="77777777" w:rsidR="00607565" w:rsidRDefault="00607565">
      <w:pPr>
        <w:pStyle w:val="Textoindependiente"/>
      </w:pPr>
    </w:p>
    <w:p w14:paraId="2E6768F4" w14:textId="631DFF92" w:rsidR="00607565" w:rsidRDefault="00000000">
      <w:pPr>
        <w:pStyle w:val="Prrafodelista"/>
        <w:numPr>
          <w:ilvl w:val="0"/>
          <w:numId w:val="1"/>
        </w:numPr>
        <w:tabs>
          <w:tab w:val="left" w:pos="543"/>
          <w:tab w:val="left" w:pos="546"/>
        </w:tabs>
        <w:jc w:val="both"/>
        <w:rPr>
          <w:sz w:val="26"/>
        </w:rPr>
      </w:pPr>
      <w:r>
        <w:rPr>
          <w:sz w:val="26"/>
        </w:rPr>
        <w:t xml:space="preserve">La </w:t>
      </w:r>
      <w:r w:rsidR="00DE0776">
        <w:rPr>
          <w:sz w:val="26"/>
        </w:rPr>
        <w:t>Gerencia de Operaciones y Cobranzas</w:t>
      </w:r>
      <w:r>
        <w:rPr>
          <w:sz w:val="26"/>
        </w:rPr>
        <w:t xml:space="preserve"> verificarán la posición del cliente y el formato de cierre de CAF o del contrato respectivo, a efectos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de remitir a la </w:t>
      </w:r>
      <w:r w:rsidR="00DE0776">
        <w:rPr>
          <w:sz w:val="26"/>
        </w:rPr>
        <w:t>notaría</w:t>
      </w:r>
      <w:r>
        <w:rPr>
          <w:sz w:val="26"/>
        </w:rPr>
        <w:t xml:space="preserve"> la instrucción para la elaboración del acta de transferencia y el levantamiento de la garantía, en caso de corresponder.</w:t>
      </w:r>
    </w:p>
    <w:p w14:paraId="5032193A" w14:textId="77777777" w:rsidR="00607565" w:rsidRDefault="00607565">
      <w:pPr>
        <w:pStyle w:val="Textoindependiente"/>
        <w:spacing w:before="1"/>
      </w:pPr>
    </w:p>
    <w:p w14:paraId="2CFEB5F1" w14:textId="77777777" w:rsidR="00607565" w:rsidRDefault="00000000">
      <w:pPr>
        <w:pStyle w:val="Prrafodelista"/>
        <w:numPr>
          <w:ilvl w:val="0"/>
          <w:numId w:val="1"/>
        </w:numPr>
        <w:tabs>
          <w:tab w:val="left" w:pos="543"/>
          <w:tab w:val="left" w:pos="546"/>
        </w:tabs>
        <w:jc w:val="both"/>
        <w:rPr>
          <w:sz w:val="26"/>
        </w:rPr>
      </w:pPr>
      <w:r>
        <w:rPr>
          <w:sz w:val="26"/>
        </w:rPr>
        <w:t>El levantamiento de garantía se debe otorgar a aquellos clientes que no presenten deuda vigente con la empresa y/o no cuenten con CAFs y/o contratos vigentes. Salvo casos excepcionales con la debida fundamentación mediante un resumen ejecutivo.</w:t>
      </w:r>
    </w:p>
    <w:p w14:paraId="4296994B" w14:textId="77777777" w:rsidR="00607565" w:rsidRDefault="00607565">
      <w:pPr>
        <w:pStyle w:val="Textoindependiente"/>
      </w:pPr>
    </w:p>
    <w:p w14:paraId="2683BBAC" w14:textId="663F212D" w:rsidR="00607565" w:rsidRDefault="00000000">
      <w:pPr>
        <w:pStyle w:val="Prrafodelista"/>
        <w:numPr>
          <w:ilvl w:val="0"/>
          <w:numId w:val="1"/>
        </w:numPr>
        <w:tabs>
          <w:tab w:val="left" w:pos="543"/>
          <w:tab w:val="left" w:pos="546"/>
        </w:tabs>
        <w:ind w:right="116"/>
        <w:jc w:val="both"/>
        <w:rPr>
          <w:sz w:val="26"/>
        </w:rPr>
      </w:pPr>
      <w:r>
        <w:rPr>
          <w:sz w:val="26"/>
        </w:rPr>
        <w:t xml:space="preserve">De otro lado, </w:t>
      </w:r>
      <w:r w:rsidR="00920720">
        <w:rPr>
          <w:sz w:val="26"/>
        </w:rPr>
        <w:t>en caso de que</w:t>
      </w:r>
      <w:r>
        <w:rPr>
          <w:sz w:val="26"/>
        </w:rPr>
        <w:t xml:space="preserve"> un cliente solicite el levantamiento de garantía cuando aún mantiene CAFs y/o contratos vigentes, deberá ser evaluado por la Gerencia de Riesgos, y en caso de ser considerado positivo deberá ser aprobado por la Gerencia General.</w:t>
      </w:r>
    </w:p>
    <w:p w14:paraId="26C37EC4" w14:textId="77777777" w:rsidR="00607565" w:rsidRDefault="00607565">
      <w:pPr>
        <w:pStyle w:val="Textoindependiente"/>
        <w:spacing w:before="1"/>
      </w:pPr>
    </w:p>
    <w:p w14:paraId="34E2F168" w14:textId="54147CAA" w:rsidR="00607565" w:rsidRDefault="00000000">
      <w:pPr>
        <w:pStyle w:val="Prrafodelista"/>
        <w:numPr>
          <w:ilvl w:val="0"/>
          <w:numId w:val="1"/>
        </w:numPr>
        <w:tabs>
          <w:tab w:val="left" w:pos="543"/>
          <w:tab w:val="left" w:pos="546"/>
        </w:tabs>
        <w:jc w:val="both"/>
        <w:rPr>
          <w:sz w:val="26"/>
        </w:rPr>
      </w:pPr>
      <w:r>
        <w:rPr>
          <w:sz w:val="26"/>
        </w:rPr>
        <w:t>Aprobado el Levantamiento de la Garantía por la Gerencia General, este debe ser</w:t>
      </w:r>
      <w:r w:rsidR="00920720">
        <w:rPr>
          <w:sz w:val="26"/>
        </w:rPr>
        <w:t xml:space="preserve"> notificado a la Gerencia de Operaciones quien instruirá</w:t>
      </w:r>
      <w:r>
        <w:rPr>
          <w:sz w:val="26"/>
        </w:rPr>
        <w:t xml:space="preserve"> a la</w:t>
      </w:r>
      <w:r>
        <w:rPr>
          <w:spacing w:val="40"/>
          <w:sz w:val="26"/>
        </w:rPr>
        <w:t xml:space="preserve"> </w:t>
      </w:r>
      <w:r>
        <w:rPr>
          <w:sz w:val="26"/>
        </w:rPr>
        <w:t>Gerencia Legal para que confeccione la Minuta de levantamiento de garantía y sea suscrita por los funcionarios que cuenten con poderes suficientes para tal fin.</w:t>
      </w:r>
    </w:p>
    <w:p w14:paraId="0153F236" w14:textId="77777777" w:rsidR="00607565" w:rsidRDefault="00607565">
      <w:pPr>
        <w:pStyle w:val="Textoindependiente"/>
      </w:pPr>
    </w:p>
    <w:p w14:paraId="0C7FA36A" w14:textId="72A9C449" w:rsidR="00607565" w:rsidRDefault="00000000">
      <w:pPr>
        <w:pStyle w:val="Prrafodelista"/>
        <w:numPr>
          <w:ilvl w:val="0"/>
          <w:numId w:val="1"/>
        </w:numPr>
        <w:tabs>
          <w:tab w:val="left" w:pos="543"/>
          <w:tab w:val="left" w:pos="546"/>
        </w:tabs>
        <w:spacing w:before="1"/>
        <w:ind w:right="114"/>
        <w:jc w:val="both"/>
        <w:rPr>
          <w:sz w:val="26"/>
        </w:rPr>
      </w:pPr>
      <w:r>
        <w:rPr>
          <w:sz w:val="26"/>
        </w:rPr>
        <w:t xml:space="preserve">El </w:t>
      </w:r>
      <w:r w:rsidR="00920720">
        <w:rPr>
          <w:sz w:val="26"/>
        </w:rPr>
        <w:t>Área</w:t>
      </w:r>
      <w:r>
        <w:rPr>
          <w:sz w:val="26"/>
        </w:rPr>
        <w:t xml:space="preserve"> Legal </w:t>
      </w:r>
      <w:r w:rsidR="00920720">
        <w:rPr>
          <w:sz w:val="26"/>
        </w:rPr>
        <w:t>remite la Minuta de</w:t>
      </w:r>
      <w:r>
        <w:rPr>
          <w:sz w:val="26"/>
        </w:rPr>
        <w:t xml:space="preserve"> levantamiento de garantía</w:t>
      </w:r>
      <w:r w:rsidR="00920720">
        <w:rPr>
          <w:sz w:val="26"/>
        </w:rPr>
        <w:t xml:space="preserve"> a Notaria con copia al Cliente</w:t>
      </w:r>
      <w:r>
        <w:rPr>
          <w:sz w:val="26"/>
        </w:rPr>
        <w:t>, para que por su cuenta y riesgo el cliente formalice dicho documento, debiendo llevar un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registro el </w:t>
      </w:r>
      <w:r w:rsidR="00920720">
        <w:rPr>
          <w:sz w:val="26"/>
        </w:rPr>
        <w:t>area</w:t>
      </w:r>
      <w:r>
        <w:rPr>
          <w:sz w:val="26"/>
        </w:rPr>
        <w:t xml:space="preserve"> legal</w:t>
      </w:r>
      <w:r>
        <w:rPr>
          <w:spacing w:val="-1"/>
          <w:sz w:val="26"/>
        </w:rPr>
        <w:t xml:space="preserve"> </w:t>
      </w:r>
      <w:r>
        <w:rPr>
          <w:sz w:val="26"/>
        </w:rPr>
        <w:t>de aquellos levantamientos entregados a los clientes, y remitir periódicamente a las áreas correspondientes un memorándum comunicando los levantamientos redactados y/o entregados al cliente.</w:t>
      </w:r>
    </w:p>
    <w:sectPr w:rsidR="00607565">
      <w:type w:val="continuous"/>
      <w:pgSz w:w="11910" w:h="1685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4B04"/>
    <w:multiLevelType w:val="hybridMultilevel"/>
    <w:tmpl w:val="59F0B1C6"/>
    <w:lvl w:ilvl="0" w:tplc="9C8AEA5C">
      <w:start w:val="1"/>
      <w:numFmt w:val="decimal"/>
      <w:lvlText w:val="%1."/>
      <w:lvlJc w:val="left"/>
      <w:pPr>
        <w:ind w:left="546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6"/>
        <w:szCs w:val="26"/>
        <w:lang w:val="es-ES" w:eastAsia="en-US" w:bidi="ar-SA"/>
      </w:rPr>
    </w:lvl>
    <w:lvl w:ilvl="1" w:tplc="52C4B204">
      <w:numFmt w:val="bullet"/>
      <w:lvlText w:val="•"/>
      <w:lvlJc w:val="left"/>
      <w:pPr>
        <w:ind w:left="1416" w:hanging="428"/>
      </w:pPr>
      <w:rPr>
        <w:rFonts w:hint="default"/>
        <w:lang w:val="es-ES" w:eastAsia="en-US" w:bidi="ar-SA"/>
      </w:rPr>
    </w:lvl>
    <w:lvl w:ilvl="2" w:tplc="F66078D0">
      <w:numFmt w:val="bullet"/>
      <w:lvlText w:val="•"/>
      <w:lvlJc w:val="left"/>
      <w:pPr>
        <w:ind w:left="2293" w:hanging="428"/>
      </w:pPr>
      <w:rPr>
        <w:rFonts w:hint="default"/>
        <w:lang w:val="es-ES" w:eastAsia="en-US" w:bidi="ar-SA"/>
      </w:rPr>
    </w:lvl>
    <w:lvl w:ilvl="3" w:tplc="4D4605FE">
      <w:numFmt w:val="bullet"/>
      <w:lvlText w:val="•"/>
      <w:lvlJc w:val="left"/>
      <w:pPr>
        <w:ind w:left="3169" w:hanging="428"/>
      </w:pPr>
      <w:rPr>
        <w:rFonts w:hint="default"/>
        <w:lang w:val="es-ES" w:eastAsia="en-US" w:bidi="ar-SA"/>
      </w:rPr>
    </w:lvl>
    <w:lvl w:ilvl="4" w:tplc="2A707576">
      <w:numFmt w:val="bullet"/>
      <w:lvlText w:val="•"/>
      <w:lvlJc w:val="left"/>
      <w:pPr>
        <w:ind w:left="4046" w:hanging="428"/>
      </w:pPr>
      <w:rPr>
        <w:rFonts w:hint="default"/>
        <w:lang w:val="es-ES" w:eastAsia="en-US" w:bidi="ar-SA"/>
      </w:rPr>
    </w:lvl>
    <w:lvl w:ilvl="5" w:tplc="B2A26F44">
      <w:numFmt w:val="bullet"/>
      <w:lvlText w:val="•"/>
      <w:lvlJc w:val="left"/>
      <w:pPr>
        <w:ind w:left="4923" w:hanging="428"/>
      </w:pPr>
      <w:rPr>
        <w:rFonts w:hint="default"/>
        <w:lang w:val="es-ES" w:eastAsia="en-US" w:bidi="ar-SA"/>
      </w:rPr>
    </w:lvl>
    <w:lvl w:ilvl="6" w:tplc="137E148E">
      <w:numFmt w:val="bullet"/>
      <w:lvlText w:val="•"/>
      <w:lvlJc w:val="left"/>
      <w:pPr>
        <w:ind w:left="5799" w:hanging="428"/>
      </w:pPr>
      <w:rPr>
        <w:rFonts w:hint="default"/>
        <w:lang w:val="es-ES" w:eastAsia="en-US" w:bidi="ar-SA"/>
      </w:rPr>
    </w:lvl>
    <w:lvl w:ilvl="7" w:tplc="00E49E9C">
      <w:numFmt w:val="bullet"/>
      <w:lvlText w:val="•"/>
      <w:lvlJc w:val="left"/>
      <w:pPr>
        <w:ind w:left="6676" w:hanging="428"/>
      </w:pPr>
      <w:rPr>
        <w:rFonts w:hint="default"/>
        <w:lang w:val="es-ES" w:eastAsia="en-US" w:bidi="ar-SA"/>
      </w:rPr>
    </w:lvl>
    <w:lvl w:ilvl="8" w:tplc="3A02BB5C">
      <w:numFmt w:val="bullet"/>
      <w:lvlText w:val="•"/>
      <w:lvlJc w:val="left"/>
      <w:pPr>
        <w:ind w:left="7553" w:hanging="428"/>
      </w:pPr>
      <w:rPr>
        <w:rFonts w:hint="default"/>
        <w:lang w:val="es-ES" w:eastAsia="en-US" w:bidi="ar-SA"/>
      </w:rPr>
    </w:lvl>
  </w:abstractNum>
  <w:num w:numId="1" w16cid:durableId="3843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565"/>
    <w:rsid w:val="00607565"/>
    <w:rsid w:val="00920720"/>
    <w:rsid w:val="00DE0776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357E"/>
  <w15:docId w15:val="{D61248D5-1019-4A38-A07D-ED59416D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1959" w:right="885" w:hanging="1076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46" w:right="112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ATENCION DE RECLAMOS DE USUARIOS  LEASING TOTAL S</dc:title>
  <dc:creator>Leasing</dc:creator>
  <cp:lastModifiedBy>SERGIO LUIS PEREYRA ARBULU</cp:lastModifiedBy>
  <cp:revision>2</cp:revision>
  <dcterms:created xsi:type="dcterms:W3CDTF">2024-10-16T04:28:00Z</dcterms:created>
  <dcterms:modified xsi:type="dcterms:W3CDTF">2024-10-16T04:41:00Z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2010</vt:lpwstr>
  </property>
</Properties>
</file>